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left="709" w:hanging="709"/>
        <w:jc w:val="center"/>
        <w:spacing w:lineRule="auto" w:line="276"/>
        <w:tabs>
          <w:tab w:val="left" w:pos="720" w:leader="none"/>
        </w:tabs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Программы финансовой поддержки</w:t>
      </w:r>
      <w:r>
        <w:rPr>
          <w:b/>
          <w:color w:val="5B9BD5"/>
          <w:sz w:val="28"/>
          <w:szCs w:val="28"/>
        </w:rPr>
      </w:r>
      <w:r/>
    </w:p>
    <w:p>
      <w:pPr>
        <w:pStyle w:val="601"/>
        <w:ind w:left="709" w:hanging="709"/>
        <w:jc w:val="center"/>
        <w:spacing w:lineRule="auto" w:line="276"/>
        <w:tabs>
          <w:tab w:val="left" w:pos="720" w:leader="none"/>
        </w:tabs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hanging="720"/>
        <w:jc w:val="both"/>
        <w:spacing w:lineRule="auto" w:line="276"/>
        <w:tabs>
          <w:tab w:val="left" w:pos="720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Для граждан, не имеющих определенных льгот:</w:t>
      </w:r>
      <w:r>
        <w:rPr>
          <w:b/>
          <w:sz w:val="27"/>
          <w:szCs w:val="27"/>
          <w:u w:val="single"/>
        </w:rPr>
      </w:r>
      <w:r/>
    </w:p>
    <w:p>
      <w:pPr>
        <w:pStyle w:val="601"/>
        <w:ind w:left="720"/>
        <w:jc w:val="both"/>
        <w:spacing w:lineRule="auto" w:line="276"/>
        <w:tabs>
          <w:tab w:val="left" w:pos="720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на индивидуальное жилищное строительство </w:t>
      </w:r>
      <w:r>
        <w:rPr>
          <w:b/>
          <w:sz w:val="27"/>
          <w:szCs w:val="27"/>
        </w:rPr>
        <w:t xml:space="preserve">до 2 млн рублей до 15 лет</w:t>
      </w:r>
      <w:r>
        <w:rPr>
          <w:sz w:val="27"/>
          <w:szCs w:val="27"/>
        </w:rPr>
        <w:t xml:space="preserve">; 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на завершение строительства, достройку дома  </w:t>
      </w:r>
      <w:r>
        <w:rPr>
          <w:b/>
          <w:sz w:val="27"/>
          <w:szCs w:val="27"/>
        </w:rPr>
        <w:t xml:space="preserve">до 1 млн рублей  до 10 лет</w:t>
      </w:r>
      <w:r>
        <w:rPr>
          <w:sz w:val="27"/>
          <w:szCs w:val="27"/>
        </w:rPr>
        <w:t xml:space="preserve">;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на строительство пристройки, надстройки к жилому дому (не менее 25 кв.м.) </w:t>
      </w:r>
      <w:r>
        <w:rPr>
          <w:sz w:val="27"/>
          <w:szCs w:val="27"/>
        </w:rPr>
        <w:t xml:space="preserve">– 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до 500 тыс. рублей до 10 лет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601"/>
        <w:ind w:left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Застройщикам, осуществляющим строительство </w:t>
      </w:r>
      <w:r>
        <w:rPr>
          <w:b/>
          <w:sz w:val="27"/>
          <w:szCs w:val="27"/>
          <w:u w:val="single"/>
        </w:rPr>
        <w:t xml:space="preserve">в селах и хуторах</w:t>
      </w:r>
      <w:r>
        <w:rPr>
          <w:sz w:val="27"/>
          <w:szCs w:val="27"/>
        </w:rPr>
        <w:t xml:space="preserve"> области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и проживающим там же, займы предоставляются под </w:t>
      </w:r>
      <w:r>
        <w:rPr>
          <w:b/>
          <w:sz w:val="27"/>
          <w:szCs w:val="27"/>
        </w:rPr>
        <w:t xml:space="preserve">5 %</w:t>
      </w:r>
      <w:r>
        <w:rPr>
          <w:sz w:val="27"/>
          <w:szCs w:val="27"/>
        </w:rPr>
        <w:t xml:space="preserve"> годовых.  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 остальных случаях – </w:t>
      </w:r>
      <w:r>
        <w:rPr>
          <w:b/>
          <w:sz w:val="27"/>
          <w:szCs w:val="27"/>
        </w:rPr>
        <w:t xml:space="preserve">7 </w:t>
      </w:r>
      <w:r>
        <w:rPr>
          <w:b/>
          <w:sz w:val="27"/>
          <w:szCs w:val="27"/>
        </w:rPr>
        <w:t xml:space="preserve">%</w:t>
      </w:r>
      <w:r>
        <w:rPr>
          <w:sz w:val="27"/>
          <w:szCs w:val="27"/>
        </w:rPr>
        <w:t xml:space="preserve"> годовых.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ab/>
      </w:r>
      <w:r/>
    </w:p>
    <w:p>
      <w:pPr>
        <w:pStyle w:val="601"/>
        <w:numPr>
          <w:ilvl w:val="0"/>
          <w:numId w:val="2"/>
        </w:numPr>
        <w:ind w:hanging="720"/>
        <w:jc w:val="both"/>
        <w:spacing w:lineRule="auto" w:line="276"/>
        <w:tabs>
          <w:tab w:val="left" w:pos="720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При сдаче объекта строительства в эксплуатацию в течение года</w:t>
      </w:r>
      <w:r>
        <w:rPr>
          <w:b/>
          <w:sz w:val="27"/>
          <w:szCs w:val="27"/>
          <w:u w:val="single"/>
        </w:rPr>
      </w:r>
      <w:r/>
    </w:p>
    <w:p>
      <w:pPr>
        <w:pStyle w:val="601"/>
        <w:ind w:left="720" w:hanging="11"/>
        <w:jc w:val="both"/>
        <w:spacing w:lineRule="auto" w:line="276"/>
        <w:tabs>
          <w:tab w:val="left" w:pos="720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до 1 млн рублей на 7 лет под 1 % годовых:</w:t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на индивидуальное жилищное строительство </w:t>
      </w:r>
      <w:r>
        <w:t xml:space="preserve">(</w:t>
      </w:r>
      <w:r>
        <w:rPr>
          <w:sz w:val="27"/>
          <w:szCs w:val="27"/>
        </w:rPr>
        <w:t xml:space="preserve">заве</w:t>
      </w:r>
      <w:r>
        <w:rPr>
          <w:sz w:val="27"/>
          <w:szCs w:val="27"/>
        </w:rPr>
        <w:t xml:space="preserve">ршение строительства, достройку </w:t>
      </w:r>
      <w:r>
        <w:rPr>
          <w:sz w:val="27"/>
          <w:szCs w:val="27"/>
        </w:rPr>
        <w:t xml:space="preserve">жилого дома, имеющего возведенные в полн</w:t>
      </w:r>
      <w:r>
        <w:rPr>
          <w:sz w:val="27"/>
          <w:szCs w:val="27"/>
        </w:rPr>
        <w:t xml:space="preserve">ом объеме ограждающие несущие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ненесущие конструкции с кровлей или без</w:t>
      </w:r>
      <w:r>
        <w:rPr>
          <w:sz w:val="27"/>
          <w:szCs w:val="27"/>
        </w:rPr>
        <w:t xml:space="preserve">);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на строительство пристройки, надстро</w:t>
      </w:r>
      <w:r>
        <w:rPr>
          <w:sz w:val="27"/>
          <w:szCs w:val="27"/>
        </w:rPr>
        <w:t xml:space="preserve">йки </w:t>
      </w:r>
      <w:r>
        <w:rPr>
          <w:sz w:val="27"/>
          <w:szCs w:val="27"/>
        </w:rPr>
        <w:t xml:space="preserve">к </w:t>
      </w:r>
      <w:r>
        <w:rPr>
          <w:sz w:val="27"/>
          <w:szCs w:val="27"/>
        </w:rPr>
        <w:t xml:space="preserve">жилому </w:t>
      </w:r>
      <w:r>
        <w:rPr>
          <w:sz w:val="27"/>
          <w:szCs w:val="27"/>
        </w:rPr>
        <w:t xml:space="preserve">дому </w:t>
      </w:r>
      <w:r>
        <w:rPr>
          <w:sz w:val="27"/>
          <w:szCs w:val="27"/>
        </w:rPr>
        <w:t xml:space="preserve">(не менее 25 кв.м.) 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случае нарушения рекомендуемого срока </w:t>
      </w:r>
      <w:r>
        <w:rPr>
          <w:sz w:val="27"/>
          <w:szCs w:val="27"/>
        </w:rPr>
        <w:t xml:space="preserve">строительства или реконструкции </w:t>
      </w:r>
      <w:r>
        <w:rPr>
          <w:sz w:val="27"/>
          <w:szCs w:val="27"/>
        </w:rPr>
        <w:t xml:space="preserve">жилого дома </w:t>
      </w:r>
      <w:r>
        <w:rPr>
          <w:sz w:val="27"/>
          <w:szCs w:val="27"/>
        </w:rPr>
        <w:t xml:space="preserve">процентная ставка по займу будет увеличена </w:t>
      </w:r>
      <w:r>
        <w:rPr>
          <w:b/>
          <w:sz w:val="27"/>
          <w:szCs w:val="27"/>
        </w:rPr>
        <w:t xml:space="preserve">до 7 %</w:t>
      </w:r>
      <w:r>
        <w:rPr>
          <w:sz w:val="27"/>
          <w:szCs w:val="27"/>
        </w:rPr>
        <w:t xml:space="preserve"> годовых.</w:t>
      </w:r>
      <w:r>
        <w:rPr>
          <w:sz w:val="27"/>
          <w:szCs w:val="27"/>
        </w:rPr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numPr>
          <w:ilvl w:val="0"/>
          <w:numId w:val="2"/>
        </w:numPr>
        <w:ind w:left="0" w:firstLine="0"/>
        <w:jc w:val="both"/>
        <w:spacing w:lineRule="auto" w:line="276"/>
        <w:tabs>
          <w:tab w:val="left" w:pos="720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Для многодетных семей: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до 1 млн. рублей</w:t>
      </w:r>
      <w:r>
        <w:rPr>
          <w:sz w:val="27"/>
          <w:szCs w:val="27"/>
        </w:rPr>
        <w:t xml:space="preserve"> сроком </w:t>
      </w:r>
      <w:r>
        <w:rPr>
          <w:b/>
          <w:sz w:val="27"/>
          <w:szCs w:val="27"/>
        </w:rPr>
        <w:t xml:space="preserve">до 17 лет</w:t>
      </w:r>
      <w:r>
        <w:rPr>
          <w:sz w:val="27"/>
          <w:szCs w:val="27"/>
        </w:rPr>
        <w:t xml:space="preserve"> под </w:t>
      </w:r>
      <w:r>
        <w:rPr>
          <w:b/>
          <w:sz w:val="27"/>
          <w:szCs w:val="27"/>
        </w:rPr>
        <w:t xml:space="preserve">5 %</w:t>
      </w:r>
      <w:r>
        <w:rPr>
          <w:sz w:val="27"/>
          <w:szCs w:val="27"/>
        </w:rPr>
        <w:t xml:space="preserve"> годовых, 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вне зависимости от места строительства и проживания, с предоставлением отсрочки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по уплате основного долга и процентов сроком на 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ва года.</w:t>
      </w:r>
      <w:r>
        <w:rPr>
          <w:sz w:val="27"/>
          <w:szCs w:val="27"/>
        </w:rPr>
      </w:r>
      <w:r/>
    </w:p>
    <w:p>
      <w:pPr>
        <w:pStyle w:val="601"/>
        <w:ind w:left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numPr>
          <w:ilvl w:val="0"/>
          <w:numId w:val="2"/>
        </w:numPr>
        <w:ind w:left="0" w:firstLine="0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Для застройщиков</w:t>
      </w:r>
      <w:r>
        <w:rPr>
          <w:b/>
          <w:sz w:val="27"/>
          <w:szCs w:val="27"/>
          <w:u w:val="single"/>
        </w:rPr>
        <w:t xml:space="preserve"> сел и хуторов с убывающим населением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(согласно утвержденному перечню населенных пунктов)</w:t>
      </w:r>
      <w:r>
        <w:rPr>
          <w:sz w:val="27"/>
          <w:szCs w:val="27"/>
        </w:rPr>
        <w:t xml:space="preserve">:</w:t>
      </w:r>
      <w:r/>
    </w:p>
    <w:p>
      <w:pPr>
        <w:pStyle w:val="601"/>
        <w:ind w:left="720" w:hanging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до 3 млн. рублей</w:t>
      </w:r>
      <w:r>
        <w:rPr>
          <w:sz w:val="27"/>
          <w:szCs w:val="27"/>
        </w:rPr>
        <w:t xml:space="preserve"> сроком </w:t>
      </w:r>
      <w:r>
        <w:rPr>
          <w:b/>
          <w:sz w:val="27"/>
          <w:szCs w:val="27"/>
        </w:rPr>
        <w:t xml:space="preserve">до 30 лет</w:t>
      </w:r>
      <w:r>
        <w:rPr>
          <w:sz w:val="27"/>
          <w:szCs w:val="27"/>
        </w:rPr>
        <w:t xml:space="preserve"> под </w:t>
      </w:r>
      <w:r>
        <w:rPr>
          <w:b/>
          <w:sz w:val="27"/>
          <w:szCs w:val="27"/>
        </w:rPr>
        <w:t xml:space="preserve">3 %</w:t>
      </w:r>
      <w:r>
        <w:rPr>
          <w:sz w:val="27"/>
          <w:szCs w:val="27"/>
        </w:rPr>
        <w:t xml:space="preserve"> процента годовых. 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С момента рождения (усыновления) ребенка остаток задолженности по основному долгу уменьшается на 1/3 от суммы займа за каждого рожденного (усыновленного) ребенка.</w:t>
      </w:r>
      <w:r>
        <w:rPr>
          <w:sz w:val="27"/>
          <w:szCs w:val="27"/>
        </w:rPr>
      </w:r>
      <w:r/>
    </w:p>
    <w:p>
      <w:pPr>
        <w:pStyle w:val="601"/>
        <w:ind w:left="720"/>
        <w:jc w:val="both"/>
        <w:spacing w:lineRule="auto" w:line="276"/>
        <w:tabs>
          <w:tab w:val="left" w:pos="720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numPr>
          <w:ilvl w:val="0"/>
          <w:numId w:val="2"/>
        </w:numPr>
        <w:ind w:left="0" w:firstLine="0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Для жителей Белгородской области</w:t>
      </w:r>
      <w:r>
        <w:rPr>
          <w:sz w:val="27"/>
          <w:szCs w:val="27"/>
        </w:rPr>
        <w:t xml:space="preserve"> на строительство индивидуальных жилых домов, а также покупку жилых домов (не старше 3-х лет после его ввода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в эксплуатацию) </w:t>
      </w:r>
      <w:r>
        <w:rPr>
          <w:b/>
          <w:sz w:val="27"/>
          <w:szCs w:val="27"/>
          <w:u w:val="single"/>
        </w:rPr>
        <w:t xml:space="preserve">в населенных пунктах, имеющих особое историко-культурное значение для региона,</w:t>
      </w:r>
      <w:r>
        <w:rPr>
          <w:sz w:val="27"/>
          <w:szCs w:val="27"/>
        </w:rPr>
        <w:t xml:space="preserve"> (согласно утвержденному перечню населенных пунктов) 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до 3 млн. рублей</w:t>
      </w:r>
      <w:r>
        <w:rPr>
          <w:sz w:val="27"/>
          <w:szCs w:val="27"/>
        </w:rPr>
        <w:t xml:space="preserve"> сроком </w:t>
      </w:r>
      <w:r>
        <w:rPr>
          <w:b/>
          <w:sz w:val="27"/>
          <w:szCs w:val="27"/>
        </w:rPr>
        <w:t xml:space="preserve">до 15 лет</w:t>
      </w:r>
      <w:r>
        <w:rPr>
          <w:sz w:val="27"/>
          <w:szCs w:val="27"/>
        </w:rPr>
        <w:t xml:space="preserve"> под </w:t>
      </w:r>
      <w:r>
        <w:rPr>
          <w:b/>
          <w:sz w:val="27"/>
          <w:szCs w:val="27"/>
        </w:rPr>
        <w:t xml:space="preserve">1 %</w:t>
      </w:r>
      <w:r>
        <w:rPr>
          <w:sz w:val="27"/>
          <w:szCs w:val="27"/>
        </w:rPr>
        <w:t xml:space="preserve"> годовых, </w:t>
      </w:r>
      <w:r>
        <w:rPr>
          <w:sz w:val="27"/>
          <w:szCs w:val="27"/>
        </w:rPr>
      </w:r>
      <w:r/>
    </w:p>
    <w:p>
      <w:pPr>
        <w:pStyle w:val="601"/>
        <w:jc w:val="both"/>
        <w:spacing w:lineRule="auto" w:line="276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с предоставлением отсрочки по уплате основного долга и процентов сроком на три года. С момента рождения ребенка остаток задолженности по основному долгу уменьшается на 1/3 от суммы займа за каждого рожденного ребенка.</w:t>
      </w:r>
      <w:r/>
    </w:p>
    <w:p>
      <w:pPr>
        <w:pStyle w:val="601"/>
        <w:ind w:firstLine="540"/>
        <w:jc w:val="center"/>
        <w:spacing w:lineRule="auto" w:line="276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01"/>
        <w:ind w:firstLine="540"/>
        <w:jc w:val="center"/>
        <w:spacing w:lineRule="auto" w:line="276"/>
        <w:rPr>
          <w:b/>
          <w:color w:val="2E74B5"/>
          <w:sz w:val="28"/>
          <w:szCs w:val="28"/>
        </w:rPr>
      </w:pPr>
      <w:r>
        <w:rPr>
          <w:b/>
          <w:color w:val="2E74B5"/>
          <w:sz w:val="28"/>
          <w:szCs w:val="28"/>
        </w:rPr>
        <w:t xml:space="preserve">Перечень документов для строительства жилого дома</w:t>
      </w:r>
      <w:r>
        <w:rPr>
          <w:b/>
          <w:color w:val="2E74B5"/>
          <w:sz w:val="28"/>
          <w:szCs w:val="28"/>
        </w:rPr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Анкета -заявление заемщика на займ (бланк Фонда)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Согласие заявителя и поручителей на обработку персональных данных </w:t>
        <w:br/>
        <w:t xml:space="preserve">и получение кредитного отчета по кредитной истории в Бюро кредитных историй (бланк Фонда) 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Копия паспорта заемщика (все заполненные листы)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Сведения о составе семьи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Копия ИНН заемщика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Копия СНИЛС заемщика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Реквизиты счета для перечисления денежных средств (оригинал и копия) 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Копия трудовой книжки или сведения о трудовой деятельности, заверенные работодателем, (дата заверения не ранее 1 месяца до даты подачи заявления)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 xml:space="preserve">Справки о доходах семьи за 12 предшествующих месяцев (дата не ранее 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 месяца до даты подачи заявления):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а) форма № 2-НДФЛ (для работников предприятий, учреждений, организаций);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декларация о получении годовых доходов, заверенная налоговой инспекцией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(для индивидуальных предпринимателей);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в) справки с ПФР и ФСС при получении пособия и пенсий, другие документы, подтверждающие доход 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10.  </w:t>
      </w:r>
      <w:r>
        <w:rPr>
          <w:sz w:val="26"/>
          <w:szCs w:val="26"/>
        </w:rPr>
        <w:t xml:space="preserve">Правоустанавливающие документы на земельный участок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</w:rPr>
        <w:t xml:space="preserve">Правоустанавливающие документы на жилой дом (копия выписки из ЕГРН </w:t>
        <w:br/>
        <w:t xml:space="preserve">на жилой дом при строительстве пристройки)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12. Копия паспорта поручителя (все заполненные листы)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>
        <w:rPr>
          <w:sz w:val="26"/>
          <w:szCs w:val="26"/>
        </w:rPr>
        <w:t xml:space="preserve">Справка о доходах поручителя за 12 предшествующих месяцев: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</w:pPr>
      <w:r>
        <w:rPr>
          <w:sz w:val="26"/>
          <w:szCs w:val="26"/>
        </w:rPr>
        <w:t xml:space="preserve">а) форма № 2-НДФЛ (для работников предприятий, учреждений, организаций);</w:t>
      </w:r>
      <w:r>
        <w:rPr>
          <w:sz w:val="26"/>
          <w:szCs w:val="26"/>
        </w:rPr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б) декларация о получении годовых доходов, заверенная налоговой инспекцией (для индивидуальных предпринимателей).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Документы, которые готовит Фонд: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Скриншот с сайта ФССП (федеральная служба судебных приставов)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Акт осмотра и фото объекта строительства с привязкой к местности 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Расчет платежеспособности 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Фонд может потребовать представить дополнительные документы: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копию уведомления о планируемом строительстве или реконструкции объекта индивидуального жилищного строительства (в соответствии с законодательством);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справку об отсутствии задолженности по выданным банковским кредитам, 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 также по исполнительным документам, выдаваемым в установленном законом порядке (в случае, если после осуществления платежей заемщиком базы данных еще не были обновлены соответствующими организациями);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копию документа установленного образца в соответствии </w:t>
      </w:r>
      <w:r/>
    </w:p>
    <w:p>
      <w:pPr>
        <w:pStyle w:val="601"/>
        <w:ind w:firstLine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законодательством, подтверждающего смену фамилии, имени, отчества;</w:t>
      </w:r>
      <w:r/>
    </w:p>
    <w:p>
      <w:pPr>
        <w:pStyle w:val="601"/>
        <w:ind w:left="567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копию свидетельства о заключении брака (в случае если земельный участок принадлежит одному из супругов, а заемщиком выступает другой); </w:t>
      </w:r>
      <w:r/>
    </w:p>
    <w:p>
      <w:pPr>
        <w:pStyle w:val="601"/>
        <w:ind w:firstLine="567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-  документ, подтверждающий статус многодетной семьи. </w:t>
      </w:r>
      <w:r>
        <w:rPr>
          <w:sz w:val="26"/>
          <w:szCs w:val="26"/>
        </w:rPr>
      </w:r>
      <w:r/>
    </w:p>
    <w:p>
      <w:pPr>
        <w:pStyle w:val="601"/>
        <w:jc w:val="center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01"/>
        <w:ind w:firstLine="709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Контактные данные районных отделов </w:t>
      </w:r>
      <w:r>
        <w:rPr>
          <w:b/>
          <w:color w:val="5B9BD5"/>
          <w:sz w:val="28"/>
          <w:szCs w:val="28"/>
        </w:rPr>
      </w:r>
      <w:r/>
    </w:p>
    <w:p>
      <w:pPr>
        <w:pStyle w:val="601"/>
        <w:ind w:firstLine="567"/>
        <w:jc w:val="center"/>
        <w:rPr>
          <w:b/>
          <w:color w:val="5B9BD5"/>
          <w:sz w:val="10"/>
          <w:szCs w:val="10"/>
        </w:rPr>
      </w:pPr>
      <w:r>
        <w:rPr>
          <w:b/>
          <w:color w:val="5B9BD5"/>
          <w:sz w:val="10"/>
          <w:szCs w:val="10"/>
        </w:rPr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</w:t>
        <w:tab/>
      </w:r>
      <w:r>
        <w:rPr>
          <w:sz w:val="26"/>
          <w:szCs w:val="26"/>
          <w:u w:val="single"/>
        </w:rPr>
        <w:t xml:space="preserve">Межрайонный отдел по Алексеевскому и Красненскому районам:</w:t>
      </w:r>
      <w:r>
        <w:rPr>
          <w:sz w:val="26"/>
          <w:szCs w:val="26"/>
        </w:rPr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Алексеевка, ул. Василия Собины, д. 2, 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(47234) 4-01-91, 4-02-08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с. Красное, пер. Лесной, д. 1, 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(47262) 5-28-57, 5-23-57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</w:t>
        <w:tab/>
      </w:r>
      <w:r>
        <w:rPr>
          <w:sz w:val="26"/>
          <w:szCs w:val="26"/>
          <w:u w:val="single"/>
        </w:rPr>
        <w:t xml:space="preserve">Белгородский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Белгород, ул. Князя Трубецкого, д. 28, 2 эт., 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тел.:(4722) 32-67-05, 27-65-84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3.</w:t>
        <w:tab/>
      </w:r>
      <w:r>
        <w:rPr>
          <w:sz w:val="26"/>
          <w:szCs w:val="26"/>
          <w:u w:val="single"/>
        </w:rPr>
        <w:t xml:space="preserve">Межрайонный отдел по Борисовскому и Грайворонскому районам: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Борисовка, ул. Советская, д. 2,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(47246) 5-31-47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Грайворон, ул. Свердлова, д. 25,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(47261) 4-52-42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</w:t>
        <w:tab/>
      </w:r>
      <w:r>
        <w:rPr>
          <w:sz w:val="26"/>
          <w:szCs w:val="26"/>
          <w:u w:val="single"/>
        </w:rPr>
        <w:t xml:space="preserve">Межрайонный отдел по Валуйскому и Волоконовскому районам: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Валуйки, ул. Максима Горького, д. 1, каб. 12,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(47236) 3-08-06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Волоконовка, ул. Нестерова, д. 37,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(47235) 5-17-78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5.</w:t>
        <w:tab/>
      </w:r>
      <w:r>
        <w:rPr>
          <w:sz w:val="26"/>
          <w:szCs w:val="26"/>
          <w:u w:val="single"/>
        </w:rPr>
        <w:t xml:space="preserve">Межрайонный отдел по Вейделевскому и Ровеньскому районам: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Вейделевка, ул. Центральная, д. 38,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(47237) 5-56-56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Ровеньки, ул. Кирова, д. 18,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(47238) 5-67-04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6.</w:t>
        <w:tab/>
      </w:r>
      <w:r>
        <w:rPr>
          <w:sz w:val="26"/>
          <w:szCs w:val="26"/>
          <w:u w:val="single"/>
        </w:rPr>
        <w:t xml:space="preserve">Губкинский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Губкин, ул. Дзержинского, д. 17, каб. 43,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(47241) 5-16-25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</w:t>
        <w:tab/>
      </w:r>
      <w:r>
        <w:rPr>
          <w:sz w:val="26"/>
          <w:szCs w:val="26"/>
          <w:u w:val="single"/>
        </w:rPr>
        <w:t xml:space="preserve">Межрайонный отдел по Прохоровскому и Ивнянскому районам:</w:t>
      </w:r>
      <w:r>
        <w:rPr>
          <w:sz w:val="26"/>
          <w:szCs w:val="26"/>
        </w:rPr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п. Прохоровка, ул. Колхозная, д. 1,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(47242) 2-32-21, 2-24-37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Ивня, ул. Десницкого, д. 3,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(47243) 5-50-71, 5-50-72 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8.</w:t>
        <w:tab/>
      </w:r>
      <w:r>
        <w:rPr>
          <w:sz w:val="26"/>
          <w:szCs w:val="26"/>
          <w:u w:val="single"/>
        </w:rPr>
        <w:t xml:space="preserve">Корочанский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Короча, ул. Ленина, д. 59,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(47231) 5-67-90, 5-58-73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9.</w:t>
        <w:tab/>
      </w:r>
      <w:r>
        <w:rPr>
          <w:sz w:val="26"/>
          <w:szCs w:val="26"/>
          <w:u w:val="single"/>
        </w:rPr>
        <w:t xml:space="preserve">Красногвардейский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Бирюч, пл. Соборная, д. 1, 5 эт.,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(47247) 3-26-89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10.</w:t>
        <w:tab/>
        <w:t xml:space="preserve"> </w:t>
      </w:r>
      <w:r>
        <w:rPr>
          <w:sz w:val="26"/>
          <w:szCs w:val="26"/>
          <w:u w:val="single"/>
        </w:rPr>
        <w:t xml:space="preserve">Межрайонный отдел по Ракитянскому и Краснояружскому районам: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Ракитное, ул. Пролетарская, д. 20, каб. 9,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(47245) 5-60-87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Красная Яруга, ул. Центральная, д. 49,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(47263) 4-62-88, 4-62-12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11.</w:t>
        <w:tab/>
        <w:t xml:space="preserve"> </w:t>
      </w:r>
      <w:r>
        <w:rPr>
          <w:sz w:val="26"/>
          <w:szCs w:val="26"/>
          <w:u w:val="single"/>
        </w:rPr>
        <w:t xml:space="preserve">Межрайонный отдел по Новооскольскому и Чернянскому районам: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Новый Оскол, ул. Славы, д. 39, 2 эт.,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(47233) 4-68-44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п. Чернянка, ул. Октябрьская, д. 1 «а»,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(47232) 5-50-31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12.</w:t>
        <w:tab/>
        <w:t xml:space="preserve"> </w:t>
      </w:r>
      <w:r>
        <w:rPr>
          <w:sz w:val="26"/>
          <w:szCs w:val="26"/>
          <w:u w:val="single"/>
        </w:rPr>
        <w:t xml:space="preserve">Старооскольский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Старый Оскол, МКР «Степной», д. 8 «а», 2 эт.,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(4725) 23-36-43, 23-36-44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13.</w:t>
        <w:tab/>
        <w:t xml:space="preserve"> </w:t>
      </w:r>
      <w:r>
        <w:rPr>
          <w:sz w:val="26"/>
          <w:szCs w:val="26"/>
          <w:u w:val="single"/>
        </w:rPr>
        <w:t xml:space="preserve">Шебекинский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Шебекино, ул. Свободы, д. 19,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тел.: (47248) 2-28-98, 2-28-53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14.</w:t>
        <w:tab/>
      </w:r>
      <w:r>
        <w:rPr>
          <w:sz w:val="26"/>
          <w:szCs w:val="26"/>
          <w:u w:val="single"/>
        </w:rPr>
        <w:t xml:space="preserve">Яковлевский отдел: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г. Строитель, ул. Ленина, д. 2, 4 эт.,</w:t>
      </w:r>
      <w:r/>
    </w:p>
    <w:p>
      <w:pPr>
        <w:pStyle w:val="601"/>
        <w:jc w:val="both"/>
        <w:spacing w:lineRule="auto" w:line="276"/>
        <w:tabs>
          <w:tab w:val="left" w:pos="72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тел.: (47244) 5-48-82, 5-28-01</w:t>
      </w:r>
      <w:r/>
    </w:p>
    <w:p>
      <w:pPr>
        <w:pStyle w:val="601"/>
        <w:jc w:val="center"/>
        <w:spacing w:lineRule="auto" w:line="276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</w:r>
      <w:r/>
    </w:p>
    <w:p>
      <w:pPr>
        <w:pStyle w:val="601"/>
        <w:jc w:val="center"/>
        <w:spacing w:lineRule="auto" w:line="276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</w:r>
      <w:r/>
    </w:p>
    <w:p>
      <w:pPr>
        <w:pStyle w:val="601"/>
        <w:jc w:val="center"/>
        <w:spacing w:lineRule="auto" w:line="276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  <w:t xml:space="preserve">ГУП «Фонд поддержки ИЖС»</w:t>
      </w:r>
      <w:r/>
    </w:p>
    <w:p>
      <w:pPr>
        <w:pStyle w:val="601"/>
        <w:jc w:val="center"/>
        <w:spacing w:lineRule="auto" w:line="276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01"/>
        <w:jc w:val="right"/>
        <w:spacing w:lineRule="auto" w:line="276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308009, г. Белгород, ул. Князя Трубецкого, д. 28</w:t>
      </w:r>
      <w:r/>
    </w:p>
    <w:p>
      <w:pPr>
        <w:pStyle w:val="601"/>
        <w:jc w:val="right"/>
        <w:spacing w:lineRule="auto" w:line="276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Тел.: (4722) 27-37-90, сайт: </w:t>
      </w:r>
      <w:r>
        <w:rPr>
          <w:b/>
          <w:sz w:val="27"/>
          <w:szCs w:val="27"/>
        </w:rPr>
        <w:fldChar w:fldCharType="begin"/>
      </w:r>
      <w:r>
        <w:rPr>
          <w:b/>
          <w:sz w:val="27"/>
          <w:szCs w:val="27"/>
        </w:rPr>
        <w:instrText xml:space="preserve"> HYPERLINK "http://</w:instrText>
      </w:r>
      <w:r>
        <w:rPr>
          <w:b/>
          <w:sz w:val="27"/>
          <w:szCs w:val="27"/>
        </w:rPr>
        <w:instrText xml:space="preserve">www.beligs.ru</w:instrText>
      </w:r>
      <w:r>
        <w:rPr>
          <w:b/>
          <w:sz w:val="27"/>
          <w:szCs w:val="27"/>
        </w:rPr>
        <w:instrText xml:space="preserve">" </w:instrText>
      </w:r>
      <w:r>
        <w:rPr>
          <w:b/>
          <w:sz w:val="27"/>
          <w:szCs w:val="27"/>
        </w:rPr>
        <w:fldChar w:fldCharType="separate"/>
      </w:r>
      <w:r>
        <w:rPr>
          <w:rStyle w:val="606"/>
          <w:b/>
          <w:sz w:val="27"/>
          <w:szCs w:val="27"/>
        </w:rPr>
        <w:t xml:space="preserve">www.beligs.ru</w:t>
      </w:r>
      <w:r>
        <w:rPr>
          <w:b/>
          <w:sz w:val="27"/>
          <w:szCs w:val="27"/>
        </w:rPr>
        <w:fldChar w:fldCharType="end"/>
      </w:r>
      <w:r>
        <w:rPr>
          <w:b/>
          <w:sz w:val="27"/>
          <w:szCs w:val="27"/>
        </w:rPr>
        <w:t xml:space="preserve">.</w:t>
      </w:r>
      <w:r>
        <w:rPr>
          <w:b/>
          <w:sz w:val="27"/>
          <w:szCs w:val="27"/>
        </w:rPr>
      </w:r>
      <w:r/>
    </w:p>
    <w:p>
      <w:pPr>
        <w:pStyle w:val="601"/>
        <w:jc w:val="right"/>
        <w:spacing w:lineRule="auto" w:line="276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  <w:t xml:space="preserve">Льготные займы</w:t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  <w:t xml:space="preserve">от 1 % до </w:t>
      </w:r>
      <w:r>
        <w:rPr>
          <w:b/>
          <w:color w:val="2E74B5"/>
          <w:sz w:val="48"/>
          <w:szCs w:val="48"/>
        </w:rPr>
        <w:t xml:space="preserve">7</w:t>
      </w:r>
      <w:r>
        <w:rPr>
          <w:b/>
          <w:color w:val="2E74B5"/>
          <w:sz w:val="48"/>
          <w:szCs w:val="48"/>
        </w:rPr>
        <w:t xml:space="preserve"> %</w:t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  <w:t xml:space="preserve">до 3 000 000 рублей</w:t>
      </w:r>
      <w:r/>
    </w:p>
    <w:p>
      <w:pPr>
        <w:pStyle w:val="601"/>
        <w:jc w:val="center"/>
        <w:spacing w:lineRule="auto" w:line="276"/>
        <w:rPr>
          <w:b/>
          <w:color w:val="2E74B5"/>
          <w:sz w:val="48"/>
          <w:szCs w:val="48"/>
        </w:rPr>
      </w:pPr>
      <w:r>
        <w:rPr>
          <w:b/>
          <w:color w:val="2E74B5"/>
          <w:sz w:val="48"/>
          <w:szCs w:val="48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p>
      <w:pPr>
        <w:pStyle w:val="601"/>
        <w:jc w:val="center"/>
        <w:spacing w:lineRule="auto" w:line="276"/>
        <w:rPr>
          <w:b/>
          <w:color w:val="2E74B5"/>
          <w:sz w:val="27"/>
          <w:szCs w:val="27"/>
        </w:rPr>
      </w:pPr>
      <w:r>
        <w:rPr>
          <w:b/>
          <w:color w:val="2E74B5"/>
          <w:sz w:val="27"/>
          <w:szCs w:val="27"/>
        </w:rPr>
      </w:r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720" w:hanging="360"/>
      </w:pPr>
      <w:rPr>
        <w:b/>
        <w:color w:val="2F549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mirrorMargin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1">
    <w:name w:val="Обычный"/>
    <w:next w:val="601"/>
    <w:link w:val="601"/>
    <w:rPr>
      <w:sz w:val="24"/>
      <w:szCs w:val="24"/>
      <w:lang w:val="ru-RU" w:bidi="ar-SA" w:eastAsia="ru-RU"/>
    </w:r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paragraph" w:styleId="605">
    <w:name w:val=" Знак Знак2"/>
    <w:basedOn w:val="601"/>
    <w:next w:val="605"/>
    <w:link w:val="601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character" w:styleId="606">
    <w:name w:val="Гиперссылка"/>
    <w:next w:val="606"/>
    <w:link w:val="601"/>
    <w:rPr>
      <w:color w:val="0563C1"/>
      <w:u w:val="single"/>
    </w:rPr>
  </w:style>
  <w:style w:type="paragraph" w:styleId="607">
    <w:name w:val="Текст выноски"/>
    <w:basedOn w:val="601"/>
    <w:next w:val="607"/>
    <w:link w:val="608"/>
    <w:rPr>
      <w:rFonts w:ascii="Segoe UI" w:hAnsi="Segoe UI"/>
      <w:sz w:val="18"/>
      <w:szCs w:val="18"/>
    </w:rPr>
  </w:style>
  <w:style w:type="character" w:styleId="608">
    <w:name w:val="Текст выноски Знак"/>
    <w:next w:val="608"/>
    <w:link w:val="607"/>
    <w:rPr>
      <w:rFonts w:ascii="Segoe UI" w:hAnsi="Segoe UI"/>
      <w:sz w:val="18"/>
      <w:szCs w:val="18"/>
    </w:rPr>
  </w:style>
  <w:style w:type="paragraph" w:styleId="609">
    <w:name w:val="Верхний колонтитул"/>
    <w:basedOn w:val="601"/>
    <w:next w:val="609"/>
    <w:link w:val="610"/>
    <w:pPr>
      <w:tabs>
        <w:tab w:val="center" w:pos="4677" w:leader="none"/>
        <w:tab w:val="right" w:pos="9355" w:leader="none"/>
      </w:tabs>
    </w:pPr>
  </w:style>
  <w:style w:type="character" w:styleId="610">
    <w:name w:val="Верхний колонтитул Знак"/>
    <w:next w:val="610"/>
    <w:link w:val="609"/>
    <w:rPr>
      <w:sz w:val="24"/>
      <w:szCs w:val="24"/>
    </w:rPr>
  </w:style>
  <w:style w:type="paragraph" w:styleId="611">
    <w:name w:val="Нижний колонтитул"/>
    <w:basedOn w:val="601"/>
    <w:next w:val="611"/>
    <w:link w:val="612"/>
    <w:pPr>
      <w:tabs>
        <w:tab w:val="center" w:pos="4677" w:leader="none"/>
        <w:tab w:val="right" w:pos="9355" w:leader="none"/>
      </w:tabs>
    </w:pPr>
  </w:style>
  <w:style w:type="character" w:styleId="612">
    <w:name w:val="Нижний колонтитул Знак"/>
    <w:next w:val="612"/>
    <w:link w:val="611"/>
    <w:rPr>
      <w:sz w:val="24"/>
      <w:szCs w:val="24"/>
    </w:rPr>
  </w:style>
  <w:style w:type="character" w:styleId="1364" w:default="1">
    <w:name w:val="Default Paragraph Font"/>
    <w:uiPriority w:val="1"/>
    <w:semiHidden/>
    <w:unhideWhenUsed/>
  </w:style>
  <w:style w:type="numbering" w:styleId="1365" w:default="1">
    <w:name w:val="No List"/>
    <w:uiPriority w:val="99"/>
    <w:semiHidden/>
    <w:unhideWhenUsed/>
  </w:style>
  <w:style w:type="paragraph" w:styleId="1366" w:default="1">
    <w:name w:val="Normal"/>
    <w:qFormat/>
  </w:style>
  <w:style w:type="table" w:styleId="13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Долженков Александр Михайлович</cp:lastModifiedBy>
  <cp:revision>1</cp:revision>
  <dcterms:modified xsi:type="dcterms:W3CDTF">2022-03-23T08:22:52Z</dcterms:modified>
</cp:coreProperties>
</file>